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DB" w:rsidRPr="00C406DB" w:rsidRDefault="00C406DB" w:rsidP="00C406DB">
      <w:pPr>
        <w:widowControl/>
        <w:shd w:val="clear" w:color="auto" w:fill="FFFFFF"/>
        <w:spacing w:before="100" w:beforeAutospacing="1" w:after="100" w:afterAutospacing="1" w:line="390" w:lineRule="atLeast"/>
        <w:jc w:val="center"/>
        <w:outlineLvl w:val="0"/>
        <w:rPr>
          <w:rFonts w:ascii="微软雅黑" w:eastAsia="微软雅黑" w:hAnsi="微软雅黑" w:cs="Tahoma"/>
          <w:b/>
          <w:bCs/>
          <w:color w:val="007592"/>
          <w:kern w:val="36"/>
          <w:sz w:val="27"/>
          <w:szCs w:val="27"/>
        </w:rPr>
      </w:pPr>
      <w:r w:rsidRPr="00C406DB">
        <w:rPr>
          <w:rFonts w:ascii="微软雅黑" w:eastAsia="微软雅黑" w:hAnsi="微软雅黑" w:cs="Tahoma" w:hint="eastAsia"/>
          <w:b/>
          <w:bCs/>
          <w:color w:val="007592"/>
          <w:kern w:val="36"/>
          <w:sz w:val="27"/>
          <w:szCs w:val="27"/>
        </w:rPr>
        <w:t>关于印发《苏州大学教师在职攻读博、硕士学位管理办法》的通知</w:t>
      </w:r>
    </w:p>
    <w:p w:rsidR="00C406DB" w:rsidRPr="00C406DB" w:rsidRDefault="00C406DB" w:rsidP="00C406DB">
      <w:pPr>
        <w:widowControl/>
        <w:shd w:val="clear" w:color="auto" w:fill="FFFFFF"/>
        <w:spacing w:beforeAutospacing="1" w:afterAutospacing="1"/>
        <w:jc w:val="center"/>
        <w:rPr>
          <w:rFonts w:ascii="Tahoma" w:eastAsia="宋体" w:hAnsi="Tahoma" w:cs="Tahoma"/>
          <w:color w:val="333333"/>
          <w:kern w:val="0"/>
          <w:sz w:val="18"/>
          <w:szCs w:val="18"/>
        </w:rPr>
      </w:pPr>
      <w:r w:rsidRPr="00C406DB">
        <w:rPr>
          <w:rFonts w:ascii="Tahoma" w:eastAsia="宋体" w:hAnsi="Tahoma" w:cs="Tahoma"/>
          <w:color w:val="787878"/>
          <w:kern w:val="0"/>
          <w:sz w:val="18"/>
          <w:szCs w:val="18"/>
        </w:rPr>
        <w:t>发布时间：</w:t>
      </w:r>
      <w:r w:rsidRPr="00C406DB">
        <w:rPr>
          <w:rFonts w:ascii="Tahoma" w:eastAsia="宋体" w:hAnsi="Tahoma" w:cs="Tahoma"/>
          <w:color w:val="787878"/>
          <w:kern w:val="0"/>
          <w:sz w:val="18"/>
          <w:szCs w:val="18"/>
        </w:rPr>
        <w:t>2006-03-22</w:t>
      </w:r>
      <w:r w:rsidRPr="00C406DB">
        <w:rPr>
          <w:rFonts w:ascii="Tahoma" w:eastAsia="宋体" w:hAnsi="Tahoma" w:cs="Tahoma"/>
          <w:color w:val="787878"/>
          <w:kern w:val="0"/>
          <w:sz w:val="18"/>
          <w:szCs w:val="18"/>
        </w:rPr>
        <w:t>浏览次数：</w:t>
      </w:r>
      <w:r w:rsidRPr="00C406DB">
        <w:rPr>
          <w:rFonts w:ascii="Tahoma" w:eastAsia="宋体" w:hAnsi="Tahoma" w:cs="Tahoma"/>
          <w:color w:val="787878"/>
          <w:kern w:val="0"/>
          <w:sz w:val="18"/>
          <w:szCs w:val="18"/>
        </w:rPr>
        <w:t xml:space="preserve">72 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/>
        <w:jc w:val="center"/>
        <w:rPr>
          <w:rFonts w:ascii="仿宋" w:eastAsia="仿宋" w:hAnsi="仿宋" w:cs="Tahoma"/>
          <w:color w:val="333333"/>
          <w:kern w:val="0"/>
          <w:sz w:val="29"/>
          <w:szCs w:val="29"/>
        </w:rPr>
      </w:pPr>
      <w:bookmarkStart w:id="0" w:name="_GoBack"/>
      <w:bookmarkEnd w:id="0"/>
      <w:r w:rsidRPr="00C406DB">
        <w:rPr>
          <w:rFonts w:ascii="仿宋" w:eastAsia="仿宋" w:hAnsi="仿宋" w:cs="Tahoma" w:hint="eastAsia"/>
          <w:b/>
          <w:bCs/>
          <w:color w:val="FF0000"/>
          <w:kern w:val="0"/>
          <w:sz w:val="29"/>
        </w:rPr>
        <w:t>苏 州 大 学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/>
        <w:jc w:val="center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t>苏大人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[2006]22号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center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b/>
          <w:bCs/>
          <w:color w:val="000000"/>
          <w:kern w:val="0"/>
          <w:sz w:val="29"/>
        </w:rPr>
        <w:t>关于印发《苏州大学教师在职攻读博、硕士学位管理办法》的通知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t>各院（系）、部门、直属单位：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t xml:space="preserve">　　《苏州大学教师在职攻读博、硕士学位管理办法》业经校务会议讨论通过，现印发给你们，请认真贯彻执行。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t xml:space="preserve">　　特此通知。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t xml:space="preserve">　　附件：苏州大学教师在职攻读博、硕士学位管理办法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righ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t xml:space="preserve">　　　　　　　　　　　　　　　　　　　　苏　州　大　学</w:t>
      </w:r>
    </w:p>
    <w:p w:rsidR="00C406DB" w:rsidRPr="00C406DB" w:rsidRDefault="00FE5A95" w:rsidP="00C406DB">
      <w:pPr>
        <w:widowControl/>
        <w:shd w:val="clear" w:color="auto" w:fill="FFFFFF"/>
        <w:spacing w:before="100" w:beforeAutospacing="1" w:line="360" w:lineRule="auto"/>
        <w:jc w:val="right"/>
        <w:rPr>
          <w:rFonts w:ascii="仿宋" w:eastAsia="仿宋" w:hAnsi="仿宋" w:cs="Tahoma"/>
          <w:color w:val="333333"/>
          <w:kern w:val="0"/>
          <w:sz w:val="29"/>
          <w:szCs w:val="29"/>
        </w:rPr>
      </w:pPr>
      <w:r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t xml:space="preserve">　　　　　　　　　　　　　　　　　</w:t>
      </w:r>
      <w:r w:rsidR="00C406DB" w:rsidRPr="00C406DB"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t>二○○六年三月二十二日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t>主题词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: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教师 博、硕士学位　管理办法　通知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lastRenderedPageBreak/>
        <w:t>抄送：各党委、工委，校党委各部门，工会、团委。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t>苏州大学人事处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2006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年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03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月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22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日印发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t>校对：于毓蓝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</w:p>
    <w:p w:rsidR="00C406DB" w:rsidRPr="00C406DB" w:rsidRDefault="00C406DB" w:rsidP="00C406DB">
      <w:pPr>
        <w:widowControl/>
        <w:shd w:val="clear" w:color="auto" w:fill="FFFFFF"/>
        <w:spacing w:before="100" w:beforeAutospacing="1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</w:p>
    <w:p w:rsidR="00C406DB" w:rsidRPr="00C406DB" w:rsidRDefault="00C406DB" w:rsidP="00C406DB">
      <w:pPr>
        <w:pageBreakBefore/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b/>
          <w:bCs/>
          <w:color w:val="000000"/>
          <w:kern w:val="0"/>
          <w:sz w:val="29"/>
        </w:rPr>
        <w:t>附件：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center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b/>
          <w:bCs/>
          <w:color w:val="000000"/>
          <w:kern w:val="0"/>
          <w:sz w:val="29"/>
        </w:rPr>
        <w:t>苏州大学教师在职攻读博、硕士学位管理办法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t>为进一步加强教师队伍建设，优化教师队伍学历结构，提高教师队伍整体素质和水平，在继续实施“博硕士工程”的基础上，学校重点实施“博士化工程”，现就教师在职攻读博、硕士学位制定本办法。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b/>
          <w:bCs/>
          <w:color w:val="000000"/>
          <w:kern w:val="0"/>
          <w:sz w:val="29"/>
        </w:rPr>
        <w:t>一、指导思想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1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进一步贯彻人才强校战略，改善教师队伍的知识结构、学历结构和学缘结构，提高教师的知识创新能力，建设一支适应学校事业发展需要、人员精干、素质优良、结构合理、相对稳定的教师队伍，加快实现学校国内一流、国际知名综合性、研究型大学的目标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2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、学校重点实施“博士化工程”，在不影响学校正常教学工作的前提下，按照“按需培养、学用一致”的方针，鼓励教师到重点高校尤其是名校攻读名导师的博士研究生。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b/>
          <w:bCs/>
          <w:color w:val="000000"/>
          <w:kern w:val="0"/>
          <w:sz w:val="29"/>
        </w:rPr>
        <w:t>二、培养方式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1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、鼓励教师在职攻读非本校计划内定向博、硕士研究生。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2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、学校急需发展的学科、专业的教师可以报考委托培养博士研究生。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3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、除音、体、美等特殊专业外，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35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周岁以下的青年教师报考硕士研究生，应参加全国统一招收研究生考试，原则上不采用同等学历申请硕士学位、攻读专业学位、高校教师在职攻读学位等方式。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b/>
          <w:bCs/>
          <w:color w:val="000000"/>
          <w:kern w:val="0"/>
          <w:sz w:val="29"/>
        </w:rPr>
        <w:t>三、进修程序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1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、各院（系）应在每年年底前制订下一年度教师在职培养的详细方案，按学科、专业把培养计划落实到具体人员，明确学习培养的具体时间。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2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、列入培养计划、拟在职攻读博、硕士学位的教师，均须事先办理申请手续，填写《苏州大学教师在职进修申请表》，由院（系）签署意见后，报学校审核批准。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3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、在职攻读博、硕士学位的教师录取后须与学校签订协议，明确服务期限及违约责任等。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4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、教师学习结束后，应将毕业证书、学位证书复印件报人事处备案，学籍材料归入本人人事档案。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b/>
          <w:bCs/>
          <w:color w:val="000000"/>
          <w:kern w:val="0"/>
          <w:sz w:val="29"/>
        </w:rPr>
        <w:t>四、费用报销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1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、经学校批准在职攻读博、硕士学位的教师，须凭本人通过进修获得的毕业证书及学位证书原件报销相关费用。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2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、教师在职攻读博、硕士学位的培养费、住宿费（如录取通知未注明，按本校研究生普通住宿标准核定）由学校、所在院（系）和个人共同承担：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t>（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1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）对于省“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333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工程”培养对象、省“青蓝工程”培养对象、校优秀中青年学术带头人培养人选、校优秀青年骨干教师培养人选，学校承担上述有关费用的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70%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；对于其他人员，学校承担上述有关费用的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50%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t>（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2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）所在院（系）承担比例由院（系）自定，但在包干经费中承担的部分不能超过上述有关费用的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25%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3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、在付款方式上，学校不采用借暂付款的方式交纳培养费用。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b/>
          <w:bCs/>
          <w:color w:val="000000"/>
          <w:kern w:val="0"/>
          <w:sz w:val="29"/>
        </w:rPr>
        <w:t>五、优惠待遇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1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、教师在职攻读博、硕士学位期间，按照学校在职在岗人员享受待遇。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2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、参照引进人员标准，学校对通过在职培养获得博士学位的教师提供一定的科研启动基金，并按学校规定直接领取购房补贴。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3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、对于在非本校省（部）级重点学科在职攻读博士学位并属计划内录取、不需学校承担培养费的教师，在其毕业并取得博士学位后，学校参照同类人员培养费标准的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50%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作为科研经费资助给个人；如在非本校国家级重点学科攻读博士学位并符合前述条件，学校参照同类人员培养费标准作为科研经费资助给个人。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b/>
          <w:bCs/>
          <w:color w:val="000000"/>
          <w:kern w:val="0"/>
          <w:sz w:val="29"/>
        </w:rPr>
        <w:t>六、违约处理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1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、根据《苏州大学各类专业技术人员服务期限暂行规定》，教师完成学业后，应即回学校工作，履行规定的服务期。若教师在服务期内因个人原因离校，须赔偿如下费用：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t>（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1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）服务期补偿费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1000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元人民币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/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月；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t>（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2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）脱产学习期间的全部工资和校内分配；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color w:val="000000"/>
          <w:kern w:val="0"/>
          <w:sz w:val="29"/>
          <w:szCs w:val="29"/>
        </w:rPr>
        <w:t>（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3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）学校（含院系）承担的培养费及其他有关费用，按服务年限折算。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2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、若教师如期毕业但因个人原因未能取得相应学位，学校仅承担培养费的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20%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；若教师因个人原因未能如期毕业也未能取得相应学位，学校不予报销学习产生的任何费用，并扣回脱产学习期间发放的工资和校内分配。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b/>
          <w:bCs/>
          <w:color w:val="000000"/>
          <w:kern w:val="0"/>
          <w:sz w:val="29"/>
        </w:rPr>
        <w:t>七、有关要求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1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、各院（系）应有计划、有重点、统筹安排本单位教师在职攻读博、硕士学位，对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45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周岁以下、不具有硕士或博士学位的中青年教师应提出明确具体的时间要求。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2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、各院（系）在制订年度培养计划时，应兼顾专业间的平衡，除保证重点外，要向骨干教师及学历、学缘结构不合理的学科倾斜。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3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、专任教师一般应进校</w:t>
      </w: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1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年后才可以申请在职攻读博、硕士学位。教师报考专业须与所从事专业一致或相近。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4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、未办理申请手续、未签订协议的教师也适用《苏州大学各类专业技术人员服务期限暂行规定》，但学校不予报销学习产生的任何费用。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ahoma" w:hint="eastAsia"/>
          <w:b/>
          <w:bCs/>
          <w:color w:val="000000"/>
          <w:kern w:val="0"/>
          <w:sz w:val="29"/>
        </w:rPr>
        <w:t>八、附则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1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、教师在国外攻读博士学位按教师公派出国（境）留学的有关规定执行。</w:t>
      </w:r>
    </w:p>
    <w:p w:rsidR="00C406DB" w:rsidRPr="00C406DB" w:rsidRDefault="00C406DB" w:rsidP="00C406DB">
      <w:pPr>
        <w:widowControl/>
        <w:shd w:val="clear" w:color="auto" w:fill="FFFFFF"/>
        <w:spacing w:before="100" w:beforeAutospacing="1" w:line="360" w:lineRule="auto"/>
        <w:ind w:firstLine="562"/>
        <w:jc w:val="left"/>
        <w:rPr>
          <w:rFonts w:ascii="仿宋" w:eastAsia="仿宋" w:hAnsi="仿宋" w:cs="Tahoma"/>
          <w:color w:val="333333"/>
          <w:kern w:val="0"/>
          <w:sz w:val="29"/>
          <w:szCs w:val="29"/>
        </w:rPr>
      </w:pPr>
      <w:r w:rsidRPr="00C406DB"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2</w:t>
      </w:r>
      <w:r w:rsidRPr="00C406DB">
        <w:rPr>
          <w:rFonts w:ascii="仿宋" w:eastAsia="仿宋" w:hAnsi="仿宋" w:cs="Tahoma" w:hint="eastAsia"/>
          <w:color w:val="333333"/>
          <w:kern w:val="0"/>
          <w:sz w:val="29"/>
          <w:szCs w:val="29"/>
        </w:rPr>
        <w:t>、本办法自发文之日起执行，由人事处负责解释。若学校原有规定与本办法相抵触的，以本办法为准。</w:t>
      </w:r>
    </w:p>
    <w:p w:rsidR="00DA0308" w:rsidRPr="00C406DB" w:rsidRDefault="00DA0308"/>
    <w:sectPr w:rsidR="00DA0308" w:rsidRPr="00C406DB" w:rsidSect="00DA0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790" w:rsidRDefault="00A20790" w:rsidP="00FE5A95">
      <w:r>
        <w:separator/>
      </w:r>
    </w:p>
  </w:endnote>
  <w:endnote w:type="continuationSeparator" w:id="1">
    <w:p w:rsidR="00A20790" w:rsidRDefault="00A20790" w:rsidP="00FE5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790" w:rsidRDefault="00A20790" w:rsidP="00FE5A95">
      <w:r>
        <w:separator/>
      </w:r>
    </w:p>
  </w:footnote>
  <w:footnote w:type="continuationSeparator" w:id="1">
    <w:p w:rsidR="00A20790" w:rsidRDefault="00A20790" w:rsidP="00FE5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6DB"/>
    <w:rsid w:val="0001190A"/>
    <w:rsid w:val="0005706E"/>
    <w:rsid w:val="00172C61"/>
    <w:rsid w:val="00187DE8"/>
    <w:rsid w:val="001F089C"/>
    <w:rsid w:val="002552A5"/>
    <w:rsid w:val="00266E94"/>
    <w:rsid w:val="00294783"/>
    <w:rsid w:val="003410E1"/>
    <w:rsid w:val="00360836"/>
    <w:rsid w:val="003A3AD9"/>
    <w:rsid w:val="003D6401"/>
    <w:rsid w:val="004C143B"/>
    <w:rsid w:val="00542853"/>
    <w:rsid w:val="006211A3"/>
    <w:rsid w:val="00621237"/>
    <w:rsid w:val="006B12E1"/>
    <w:rsid w:val="007823AB"/>
    <w:rsid w:val="007B56E9"/>
    <w:rsid w:val="007F0278"/>
    <w:rsid w:val="008646D2"/>
    <w:rsid w:val="00892FC4"/>
    <w:rsid w:val="00934677"/>
    <w:rsid w:val="009938B5"/>
    <w:rsid w:val="00A20790"/>
    <w:rsid w:val="00C21471"/>
    <w:rsid w:val="00C406DB"/>
    <w:rsid w:val="00D131F7"/>
    <w:rsid w:val="00D26FC3"/>
    <w:rsid w:val="00D6428E"/>
    <w:rsid w:val="00DA0308"/>
    <w:rsid w:val="00DB6941"/>
    <w:rsid w:val="00E4596D"/>
    <w:rsid w:val="00EC0DCB"/>
    <w:rsid w:val="00F40FD5"/>
    <w:rsid w:val="00F42D26"/>
    <w:rsid w:val="00F8267D"/>
    <w:rsid w:val="00FE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0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406D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406D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rsid w:val="00C406DB"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333333"/>
      <w:kern w:val="0"/>
      <w:sz w:val="18"/>
      <w:szCs w:val="18"/>
    </w:rPr>
  </w:style>
  <w:style w:type="character" w:styleId="a3">
    <w:name w:val="Strong"/>
    <w:basedOn w:val="a0"/>
    <w:uiPriority w:val="22"/>
    <w:qFormat/>
    <w:rsid w:val="00C406DB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FE5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5A9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5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5A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1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7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2017-04-17T07:39:00Z</dcterms:created>
  <dcterms:modified xsi:type="dcterms:W3CDTF">2017-04-17T07:44:00Z</dcterms:modified>
</cp:coreProperties>
</file>