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AD" w:rsidRPr="003B39AD" w:rsidRDefault="003B39AD" w:rsidP="003B39AD">
      <w:pPr>
        <w:widowControl/>
        <w:shd w:val="clear" w:color="auto" w:fill="FFFFFF"/>
        <w:spacing w:before="100" w:beforeAutospacing="1" w:after="100" w:afterAutospacing="1" w:line="390" w:lineRule="atLeast"/>
        <w:jc w:val="center"/>
        <w:outlineLvl w:val="0"/>
        <w:rPr>
          <w:rFonts w:ascii="微软雅黑" w:eastAsia="微软雅黑" w:hAnsi="微软雅黑" w:cs="Tahoma"/>
          <w:b/>
          <w:bCs/>
          <w:color w:val="007592"/>
          <w:kern w:val="36"/>
          <w:sz w:val="27"/>
          <w:szCs w:val="27"/>
        </w:rPr>
      </w:pPr>
      <w:r w:rsidRPr="003B39AD">
        <w:rPr>
          <w:rFonts w:ascii="微软雅黑" w:eastAsia="微软雅黑" w:hAnsi="微软雅黑" w:cs="Tahoma" w:hint="eastAsia"/>
          <w:b/>
          <w:bCs/>
          <w:color w:val="007592"/>
          <w:kern w:val="36"/>
          <w:sz w:val="27"/>
          <w:szCs w:val="27"/>
        </w:rPr>
        <w:t>关于印发《苏州大学新教师岗前培训管理办法》的通知</w:t>
      </w:r>
    </w:p>
    <w:p w:rsidR="003B39AD" w:rsidRPr="003B39AD" w:rsidRDefault="003B39AD" w:rsidP="003B39AD">
      <w:pPr>
        <w:widowControl/>
        <w:shd w:val="clear" w:color="auto" w:fill="FFFFFF"/>
        <w:spacing w:beforeAutospacing="1" w:afterAutospacing="1"/>
        <w:jc w:val="center"/>
        <w:rPr>
          <w:rFonts w:ascii="Tahoma" w:eastAsia="宋体" w:hAnsi="Tahoma" w:cs="Tahoma" w:hint="eastAsia"/>
          <w:color w:val="333333"/>
          <w:kern w:val="0"/>
          <w:sz w:val="18"/>
          <w:szCs w:val="18"/>
        </w:rPr>
      </w:pPr>
      <w:r w:rsidRPr="003B39AD">
        <w:rPr>
          <w:rFonts w:ascii="Tahoma" w:eastAsia="宋体" w:hAnsi="Tahoma" w:cs="Tahoma"/>
          <w:color w:val="787878"/>
          <w:kern w:val="0"/>
          <w:sz w:val="18"/>
          <w:szCs w:val="18"/>
        </w:rPr>
        <w:t>发布时间：</w:t>
      </w:r>
      <w:r w:rsidRPr="003B39AD">
        <w:rPr>
          <w:rFonts w:ascii="Tahoma" w:eastAsia="宋体" w:hAnsi="Tahoma" w:cs="Tahoma"/>
          <w:color w:val="787878"/>
          <w:kern w:val="0"/>
          <w:sz w:val="18"/>
          <w:szCs w:val="18"/>
        </w:rPr>
        <w:t>2006-03-22</w:t>
      </w:r>
      <w:r w:rsidRPr="003B39AD">
        <w:rPr>
          <w:rFonts w:ascii="Tahoma" w:eastAsia="宋体" w:hAnsi="Tahoma" w:cs="Tahoma"/>
          <w:color w:val="787878"/>
          <w:kern w:val="0"/>
          <w:sz w:val="18"/>
          <w:szCs w:val="18"/>
        </w:rPr>
        <w:t>浏览次数：</w:t>
      </w:r>
      <w:r w:rsidRPr="003B39AD">
        <w:rPr>
          <w:rFonts w:ascii="Tahoma" w:eastAsia="宋体" w:hAnsi="Tahoma" w:cs="Tahoma"/>
          <w:color w:val="787878"/>
          <w:kern w:val="0"/>
          <w:sz w:val="18"/>
          <w:szCs w:val="18"/>
        </w:rPr>
        <w:t xml:space="preserve">32 </w:t>
      </w:r>
    </w:p>
    <w:p w:rsidR="003B39AD" w:rsidRPr="003B39AD" w:rsidRDefault="003B39AD" w:rsidP="003B39AD">
      <w:pPr>
        <w:widowControl/>
        <w:shd w:val="clear" w:color="auto" w:fill="FFFFFF"/>
        <w:jc w:val="center"/>
        <w:rPr>
          <w:rFonts w:ascii="仿宋" w:eastAsia="仿宋" w:hAnsi="仿宋" w:cs="Tahoma"/>
          <w:color w:val="333333"/>
          <w:kern w:val="0"/>
          <w:sz w:val="29"/>
          <w:szCs w:val="29"/>
        </w:rPr>
      </w:pPr>
      <w:r w:rsidRPr="003B39AD">
        <w:rPr>
          <w:rFonts w:ascii="仿宋" w:eastAsia="仿宋" w:hAnsi="仿宋" w:cs="Tahoma" w:hint="eastAsia"/>
          <w:b/>
          <w:bCs/>
          <w:color w:val="FF0000"/>
          <w:kern w:val="0"/>
          <w:sz w:val="36"/>
        </w:rPr>
        <w:t>苏 州 大 学</w:t>
      </w:r>
    </w:p>
    <w:p w:rsidR="003B39AD" w:rsidRPr="003B39AD" w:rsidRDefault="003B39AD" w:rsidP="003B39AD">
      <w:pPr>
        <w:widowControl/>
        <w:shd w:val="clear" w:color="auto" w:fill="FFFFFF"/>
        <w:jc w:val="center"/>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苏大人 [2006] 24号</w:t>
      </w:r>
    </w:p>
    <w:p w:rsidR="003B39AD" w:rsidRPr="003B39AD" w:rsidRDefault="003B39AD" w:rsidP="003B39AD">
      <w:pPr>
        <w:widowControl/>
        <w:shd w:val="clear" w:color="auto" w:fill="FFFFFF"/>
        <w:jc w:val="center"/>
        <w:rPr>
          <w:rFonts w:ascii="仿宋" w:eastAsia="仿宋" w:hAnsi="仿宋" w:cs="Tahoma" w:hint="eastAsia"/>
          <w:color w:val="333333"/>
          <w:kern w:val="0"/>
          <w:sz w:val="29"/>
          <w:szCs w:val="29"/>
        </w:rPr>
      </w:pPr>
      <w:r w:rsidRPr="003B39AD">
        <w:rPr>
          <w:rFonts w:ascii="仿宋" w:eastAsia="仿宋" w:hAnsi="仿宋" w:cs="Tahoma" w:hint="eastAsia"/>
          <w:b/>
          <w:bCs/>
          <w:color w:val="333333"/>
          <w:kern w:val="0"/>
          <w:sz w:val="29"/>
        </w:rPr>
        <w:t>关于印发《苏州大学新教师岗前培训管理办法》的通知</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各院（系）、部门、直属单位：</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《苏州大学新教师岗前培训管理办法》业经校务会议讨论通过，现印发给你们，请认真贯彻执行。</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特此通知。</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附件：苏州大学新教师岗前培训管理办法</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Pr>
          <w:rFonts w:ascii="仿宋" w:eastAsia="仿宋" w:hAnsi="仿宋" w:cs="Tahoma" w:hint="eastAsia"/>
          <w:color w:val="333333"/>
          <w:kern w:val="0"/>
          <w:sz w:val="29"/>
          <w:szCs w:val="29"/>
        </w:rPr>
        <w:t xml:space="preserve">　　　　　　　　　　　　　　　　　　　　　</w:t>
      </w:r>
      <w:r w:rsidRPr="003B39AD">
        <w:rPr>
          <w:rFonts w:ascii="仿宋" w:eastAsia="仿宋" w:hAnsi="仿宋" w:cs="Tahoma" w:hint="eastAsia"/>
          <w:color w:val="333333"/>
          <w:kern w:val="0"/>
          <w:sz w:val="29"/>
          <w:szCs w:val="29"/>
        </w:rPr>
        <w:t>苏　州　大　学</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Pr>
          <w:rFonts w:ascii="仿宋" w:eastAsia="仿宋" w:hAnsi="仿宋" w:cs="Tahoma" w:hint="eastAsia"/>
          <w:color w:val="333333"/>
          <w:kern w:val="0"/>
          <w:sz w:val="29"/>
          <w:szCs w:val="29"/>
        </w:rPr>
        <w:t xml:space="preserve">　　　　　　　　　　　　　　　　 </w:t>
      </w:r>
      <w:r w:rsidRPr="003B39AD">
        <w:rPr>
          <w:rFonts w:ascii="仿宋" w:eastAsia="仿宋" w:hAnsi="仿宋" w:cs="Tahoma" w:hint="eastAsia"/>
          <w:color w:val="333333"/>
          <w:kern w:val="0"/>
          <w:sz w:val="29"/>
          <w:szCs w:val="29"/>
        </w:rPr>
        <w:t>二○○六年三月二十二日</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主题词:新教师　岗前培训　管理办法　通知</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抄送：各党委、工委，校党委各部门，工会、团委。</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苏州大学人事处　　　　　　　　　2006年03月22日印发</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校对：于毓蓝</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b/>
          <w:bCs/>
          <w:color w:val="333333"/>
          <w:kern w:val="0"/>
          <w:sz w:val="29"/>
        </w:rPr>
        <w:t>附件：</w:t>
      </w:r>
    </w:p>
    <w:p w:rsidR="003B39AD" w:rsidRPr="003B39AD" w:rsidRDefault="003B39AD" w:rsidP="003B39AD">
      <w:pPr>
        <w:widowControl/>
        <w:shd w:val="clear" w:color="auto" w:fill="FFFFFF"/>
        <w:jc w:val="center"/>
        <w:rPr>
          <w:rFonts w:ascii="仿宋" w:eastAsia="仿宋" w:hAnsi="仿宋" w:cs="Tahoma" w:hint="eastAsia"/>
          <w:color w:val="333333"/>
          <w:kern w:val="0"/>
          <w:sz w:val="29"/>
          <w:szCs w:val="29"/>
        </w:rPr>
      </w:pPr>
      <w:r w:rsidRPr="003B39AD">
        <w:rPr>
          <w:rFonts w:ascii="仿宋" w:eastAsia="仿宋" w:hAnsi="仿宋" w:cs="Tahoma" w:hint="eastAsia"/>
          <w:b/>
          <w:bCs/>
          <w:color w:val="333333"/>
          <w:kern w:val="0"/>
          <w:sz w:val="29"/>
        </w:rPr>
        <w:t>苏州大学新教师岗前培训管理办法</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为进一步规范新教师岗前培训工作，明确教师岗位职责和行为规范，全面提高教师的政治和业务素质，根据省高校师资培训中心《高等学校新教师岗前培训管理规则》，结合学校新教师岗前培训工作实际，特制定本办法。</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lastRenderedPageBreak/>
        <w:t xml:space="preserve">　　一、岗前培训对象</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新补充到高校从事教育教学工作的专任教师（含专职学生工作干部）、教学辅助人员。</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二、岗前培训形式与内容</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１、岗前培训以《高等学校教师岗前培训教学指导纲要》为依据，集中讲授和个人自学相结合，课程讲授与校本培训相结合。</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２、课程讲授内容包括高等教育学、高等教育心理学、教师职业道德、教育法通论。高等师范院校师范专业本科毕业的新教师，可免修高等教育学和高等教育心理学课程。</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３、校本培训内容包括专题讲座、典型报告、教学观摩、课堂教学实践或讲评、现代教育技术培训等，让新教师了解学校和院（系）的历史、现实与发展规划、学校的规章制度、教育教学业务要求、科学研究与科技开发的常识与规范等。校本培训由院（系）自行组织。</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三、岗前培训教师</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１、岗前培训的主讲教师由人事处负责聘请，报省高校师资培训中心备案。</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２、主讲教师应具有副高及以上职务，具有丰富的教学经验，能胜任岗前培训教学工作。其中高等教育学和高等教育心理学两门课程的教师应分别具备教育学、心理学专业副教授及以上资格。</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３、主讲教师必须根据教学大纲的要求编制教学计划和实施方案，课前认真备课，教学突出重点。课程结束后，主讲教师要进行课程教学总结，提出改进办法和意见。</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４、主讲教师的上课时间和学时必须严格按教学计划规定执行，不得随意缺课、调课和停课。任课期间生病、因公出差和特殊情况需停（调）课的，必须提前向人事处请假。临时请人代课须经人事处批准。</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５、对于教学效果较差、学生反映较大的主讲教师，学校可暂停或取消其授课资格。</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６、各院（系）应为新教师选派一名业务指导教师，指导新教师做好教学、科研工作，帮助其提高教学、科研业务能力和水平。业务指导教师应具有教授或副教授职务。</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四、岗前培训考勤与考核</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1、新教师参加培训，必须遵守考勤、考试等规章制度，不迟到、不缺席，遵守课堂纪律、考场纪律。因故不能上课者，必须事先请假。因事请假必须持所在院（系）、部门的证明，因病请假必须有医院证明。病事假超过30课时或未经批准擅自旷课10课时以上者，不得参加考试，须在第二年重新参加学习后方可考试。学员因特殊情况需延期或停止学习，应持相关证明材料至人事处办理延期手续，延期期限为一年。</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2、学员学习结束，必须参加规定课程的考试，考试形式为闭卷，考务及阅卷工作由省高校师资培训中心统一负责。凡考试作弊者，成绩一律作零分计算，并给予通报批评，延迟两年聘任相应教师职务，第二年经学校和省高校师资培训中心同意，重新学习后，方可补考。</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3、各院（系）、部门应于岗前培训课程讲授结束后的两周内，对参加岗前培训的新教师进行校本培训考核，并将校本培训计划、实施情况小结以及每位新教师受训的评价意见报人事处。</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4、课程考试和校本培训评价均合格者方可发给岗前培训合格证书。新教师岗前培训成绩存入个人业务档案，并作为教师职务聘任的重要依据。新教师在未取得岗前培训合格证书前，不安排其他培训任务，包括出国进修等。</w:t>
      </w:r>
    </w:p>
    <w:p w:rsidR="003B39AD" w:rsidRPr="003B39AD" w:rsidRDefault="003B39AD" w:rsidP="003B39AD">
      <w:pPr>
        <w:widowControl/>
        <w:shd w:val="clear" w:color="auto" w:fill="FFFFFF"/>
        <w:jc w:val="left"/>
        <w:rPr>
          <w:rFonts w:ascii="仿宋" w:eastAsia="仿宋" w:hAnsi="仿宋" w:cs="Tahoma" w:hint="eastAsia"/>
          <w:color w:val="333333"/>
          <w:kern w:val="0"/>
          <w:sz w:val="29"/>
          <w:szCs w:val="29"/>
        </w:rPr>
      </w:pPr>
      <w:r w:rsidRPr="003B39AD">
        <w:rPr>
          <w:rFonts w:ascii="仿宋" w:eastAsia="仿宋" w:hAnsi="仿宋" w:cs="Tahoma" w:hint="eastAsia"/>
          <w:color w:val="333333"/>
          <w:kern w:val="0"/>
          <w:sz w:val="29"/>
          <w:szCs w:val="29"/>
        </w:rPr>
        <w:t xml:space="preserve">　　五、本办法自发文之日起执行，由人事处负责解释。</w:t>
      </w:r>
    </w:p>
    <w:p w:rsidR="00DA0308" w:rsidRPr="003B39AD" w:rsidRDefault="00DA0308"/>
    <w:sectPr w:rsidR="00DA0308" w:rsidRPr="003B39AD" w:rsidSect="00DA03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B39AD"/>
    <w:rsid w:val="0001190A"/>
    <w:rsid w:val="0005706E"/>
    <w:rsid w:val="00172C61"/>
    <w:rsid w:val="00187DE8"/>
    <w:rsid w:val="001F089C"/>
    <w:rsid w:val="002552A5"/>
    <w:rsid w:val="00266E94"/>
    <w:rsid w:val="00294783"/>
    <w:rsid w:val="003410E1"/>
    <w:rsid w:val="00360836"/>
    <w:rsid w:val="003A3AD9"/>
    <w:rsid w:val="003B39AD"/>
    <w:rsid w:val="003D6401"/>
    <w:rsid w:val="00542853"/>
    <w:rsid w:val="006211A3"/>
    <w:rsid w:val="00621237"/>
    <w:rsid w:val="006B12E1"/>
    <w:rsid w:val="007823AB"/>
    <w:rsid w:val="007B56E9"/>
    <w:rsid w:val="007F0278"/>
    <w:rsid w:val="008646D2"/>
    <w:rsid w:val="00892FC4"/>
    <w:rsid w:val="00934677"/>
    <w:rsid w:val="009938B5"/>
    <w:rsid w:val="00C21471"/>
    <w:rsid w:val="00D131F7"/>
    <w:rsid w:val="00D26FC3"/>
    <w:rsid w:val="00D6428E"/>
    <w:rsid w:val="00DA0308"/>
    <w:rsid w:val="00DB6941"/>
    <w:rsid w:val="00E4596D"/>
    <w:rsid w:val="00EC0DCB"/>
    <w:rsid w:val="00F40FD5"/>
    <w:rsid w:val="00F42D26"/>
    <w:rsid w:val="00F826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308"/>
    <w:pPr>
      <w:widowControl w:val="0"/>
      <w:jc w:val="both"/>
    </w:pPr>
  </w:style>
  <w:style w:type="paragraph" w:styleId="1">
    <w:name w:val="heading 1"/>
    <w:basedOn w:val="a"/>
    <w:link w:val="1Char"/>
    <w:uiPriority w:val="9"/>
    <w:qFormat/>
    <w:rsid w:val="003B39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39AD"/>
    <w:rPr>
      <w:rFonts w:ascii="宋体" w:eastAsia="宋体" w:hAnsi="宋体" w:cs="宋体"/>
      <w:b/>
      <w:bCs/>
      <w:kern w:val="36"/>
      <w:sz w:val="48"/>
      <w:szCs w:val="48"/>
    </w:rPr>
  </w:style>
  <w:style w:type="paragraph" w:customStyle="1" w:styleId="artimetas1">
    <w:name w:val="arti_metas1"/>
    <w:basedOn w:val="a"/>
    <w:rsid w:val="003B39AD"/>
    <w:pPr>
      <w:widowControl/>
      <w:spacing w:before="100" w:beforeAutospacing="1" w:after="100" w:afterAutospacing="1"/>
      <w:jc w:val="center"/>
    </w:pPr>
    <w:rPr>
      <w:rFonts w:ascii="Tahoma" w:eastAsia="宋体" w:hAnsi="Tahoma" w:cs="Tahoma"/>
      <w:color w:val="333333"/>
      <w:kern w:val="0"/>
      <w:sz w:val="18"/>
      <w:szCs w:val="18"/>
    </w:rPr>
  </w:style>
  <w:style w:type="character" w:styleId="a3">
    <w:name w:val="Strong"/>
    <w:basedOn w:val="a0"/>
    <w:uiPriority w:val="22"/>
    <w:qFormat/>
    <w:rsid w:val="003B39AD"/>
    <w:rPr>
      <w:b/>
      <w:bCs/>
    </w:rPr>
  </w:style>
</w:styles>
</file>

<file path=word/webSettings.xml><?xml version="1.0" encoding="utf-8"?>
<w:webSettings xmlns:r="http://schemas.openxmlformats.org/officeDocument/2006/relationships" xmlns:w="http://schemas.openxmlformats.org/wordprocessingml/2006/main">
  <w:divs>
    <w:div w:id="1759448555">
      <w:bodyDiv w:val="1"/>
      <w:marLeft w:val="0"/>
      <w:marRight w:val="0"/>
      <w:marTop w:val="0"/>
      <w:marBottom w:val="0"/>
      <w:divBdr>
        <w:top w:val="none" w:sz="0" w:space="0" w:color="auto"/>
        <w:left w:val="none" w:sz="0" w:space="0" w:color="auto"/>
        <w:bottom w:val="none" w:sz="0" w:space="0" w:color="auto"/>
        <w:right w:val="none" w:sz="0" w:space="0" w:color="auto"/>
      </w:divBdr>
      <w:divsChild>
        <w:div w:id="721245613">
          <w:marLeft w:val="0"/>
          <w:marRight w:val="0"/>
          <w:marTop w:val="0"/>
          <w:marBottom w:val="0"/>
          <w:divBdr>
            <w:top w:val="none" w:sz="0" w:space="0" w:color="auto"/>
            <w:left w:val="none" w:sz="0" w:space="0" w:color="auto"/>
            <w:bottom w:val="none" w:sz="0" w:space="0" w:color="auto"/>
            <w:right w:val="none" w:sz="0" w:space="0" w:color="auto"/>
          </w:divBdr>
          <w:divsChild>
            <w:div w:id="830415375">
              <w:marLeft w:val="0"/>
              <w:marRight w:val="0"/>
              <w:marTop w:val="0"/>
              <w:marBottom w:val="0"/>
              <w:divBdr>
                <w:top w:val="none" w:sz="0" w:space="0" w:color="auto"/>
                <w:left w:val="none" w:sz="0" w:space="0" w:color="auto"/>
                <w:bottom w:val="none" w:sz="0" w:space="0" w:color="auto"/>
                <w:right w:val="none" w:sz="0" w:space="0" w:color="auto"/>
              </w:divBdr>
              <w:divsChild>
                <w:div w:id="1905602761">
                  <w:marLeft w:val="0"/>
                  <w:marRight w:val="0"/>
                  <w:marTop w:val="0"/>
                  <w:marBottom w:val="0"/>
                  <w:divBdr>
                    <w:top w:val="none" w:sz="0" w:space="0" w:color="auto"/>
                    <w:left w:val="none" w:sz="0" w:space="0" w:color="auto"/>
                    <w:bottom w:val="none" w:sz="0" w:space="0" w:color="auto"/>
                    <w:right w:val="none" w:sz="0" w:space="0" w:color="auto"/>
                  </w:divBdr>
                  <w:divsChild>
                    <w:div w:id="924067685">
                      <w:marLeft w:val="0"/>
                      <w:marRight w:val="0"/>
                      <w:marTop w:val="0"/>
                      <w:marBottom w:val="0"/>
                      <w:divBdr>
                        <w:top w:val="none" w:sz="0" w:space="0" w:color="auto"/>
                        <w:left w:val="none" w:sz="0" w:space="0" w:color="auto"/>
                        <w:bottom w:val="none" w:sz="0" w:space="0" w:color="auto"/>
                        <w:right w:val="none" w:sz="0" w:space="0" w:color="auto"/>
                      </w:divBdr>
                      <w:divsChild>
                        <w:div w:id="21633918">
                          <w:marLeft w:val="0"/>
                          <w:marRight w:val="0"/>
                          <w:marTop w:val="0"/>
                          <w:marBottom w:val="0"/>
                          <w:divBdr>
                            <w:top w:val="none" w:sz="0" w:space="0" w:color="auto"/>
                            <w:left w:val="none" w:sz="0" w:space="0" w:color="auto"/>
                            <w:bottom w:val="none" w:sz="0" w:space="0" w:color="auto"/>
                            <w:right w:val="none" w:sz="0" w:space="0" w:color="auto"/>
                          </w:divBdr>
                          <w:divsChild>
                            <w:div w:id="836381462">
                              <w:marLeft w:val="0"/>
                              <w:marRight w:val="0"/>
                              <w:marTop w:val="0"/>
                              <w:marBottom w:val="0"/>
                              <w:divBdr>
                                <w:top w:val="none" w:sz="0" w:space="0" w:color="auto"/>
                                <w:left w:val="none" w:sz="0" w:space="0" w:color="auto"/>
                                <w:bottom w:val="none" w:sz="0" w:space="0" w:color="auto"/>
                                <w:right w:val="none" w:sz="0" w:space="0" w:color="auto"/>
                              </w:divBdr>
                              <w:divsChild>
                                <w:div w:id="1393889219">
                                  <w:marLeft w:val="0"/>
                                  <w:marRight w:val="0"/>
                                  <w:marTop w:val="0"/>
                                  <w:marBottom w:val="0"/>
                                  <w:divBdr>
                                    <w:top w:val="none" w:sz="0" w:space="0" w:color="auto"/>
                                    <w:left w:val="none" w:sz="0" w:space="0" w:color="auto"/>
                                    <w:bottom w:val="none" w:sz="0" w:space="0" w:color="auto"/>
                                    <w:right w:val="none" w:sz="0" w:space="0" w:color="auto"/>
                                  </w:divBdr>
                                  <w:divsChild>
                                    <w:div w:id="1173447509">
                                      <w:marLeft w:val="0"/>
                                      <w:marRight w:val="0"/>
                                      <w:marTop w:val="0"/>
                                      <w:marBottom w:val="0"/>
                                      <w:divBdr>
                                        <w:top w:val="none" w:sz="0" w:space="0" w:color="auto"/>
                                        <w:left w:val="none" w:sz="0" w:space="0" w:color="auto"/>
                                        <w:bottom w:val="none" w:sz="0" w:space="0" w:color="auto"/>
                                        <w:right w:val="none" w:sz="0" w:space="0" w:color="auto"/>
                                      </w:divBdr>
                                      <w:divsChild>
                                        <w:div w:id="1140347799">
                                          <w:marLeft w:val="0"/>
                                          <w:marRight w:val="0"/>
                                          <w:marTop w:val="0"/>
                                          <w:marBottom w:val="0"/>
                                          <w:divBdr>
                                            <w:top w:val="none" w:sz="0" w:space="0" w:color="auto"/>
                                            <w:left w:val="none" w:sz="0" w:space="0" w:color="auto"/>
                                            <w:bottom w:val="none" w:sz="0" w:space="0" w:color="auto"/>
                                            <w:right w:val="none" w:sz="0" w:space="0" w:color="auto"/>
                                          </w:divBdr>
                                        </w:div>
                                        <w:div w:id="1879007969">
                                          <w:marLeft w:val="0"/>
                                          <w:marRight w:val="0"/>
                                          <w:marTop w:val="0"/>
                                          <w:marBottom w:val="0"/>
                                          <w:divBdr>
                                            <w:top w:val="none" w:sz="0" w:space="0" w:color="auto"/>
                                            <w:left w:val="none" w:sz="0" w:space="0" w:color="auto"/>
                                            <w:bottom w:val="none" w:sz="0" w:space="0" w:color="auto"/>
                                            <w:right w:val="none" w:sz="0" w:space="0" w:color="auto"/>
                                          </w:divBdr>
                                        </w:div>
                                        <w:div w:id="2362240">
                                          <w:marLeft w:val="0"/>
                                          <w:marRight w:val="0"/>
                                          <w:marTop w:val="0"/>
                                          <w:marBottom w:val="0"/>
                                          <w:divBdr>
                                            <w:top w:val="none" w:sz="0" w:space="0" w:color="auto"/>
                                            <w:left w:val="none" w:sz="0" w:space="0" w:color="auto"/>
                                            <w:bottom w:val="none" w:sz="0" w:space="0" w:color="auto"/>
                                            <w:right w:val="none" w:sz="0" w:space="0" w:color="auto"/>
                                          </w:divBdr>
                                        </w:div>
                                        <w:div w:id="908612139">
                                          <w:marLeft w:val="0"/>
                                          <w:marRight w:val="0"/>
                                          <w:marTop w:val="0"/>
                                          <w:marBottom w:val="0"/>
                                          <w:divBdr>
                                            <w:top w:val="none" w:sz="0" w:space="0" w:color="auto"/>
                                            <w:left w:val="none" w:sz="0" w:space="0" w:color="auto"/>
                                            <w:bottom w:val="none" w:sz="0" w:space="0" w:color="auto"/>
                                            <w:right w:val="none" w:sz="0" w:space="0" w:color="auto"/>
                                          </w:divBdr>
                                        </w:div>
                                        <w:div w:id="1412124337">
                                          <w:marLeft w:val="0"/>
                                          <w:marRight w:val="0"/>
                                          <w:marTop w:val="0"/>
                                          <w:marBottom w:val="0"/>
                                          <w:divBdr>
                                            <w:top w:val="none" w:sz="0" w:space="0" w:color="auto"/>
                                            <w:left w:val="none" w:sz="0" w:space="0" w:color="auto"/>
                                            <w:bottom w:val="none" w:sz="0" w:space="0" w:color="auto"/>
                                            <w:right w:val="none" w:sz="0" w:space="0" w:color="auto"/>
                                          </w:divBdr>
                                        </w:div>
                                        <w:div w:id="2121754565">
                                          <w:marLeft w:val="0"/>
                                          <w:marRight w:val="0"/>
                                          <w:marTop w:val="0"/>
                                          <w:marBottom w:val="0"/>
                                          <w:divBdr>
                                            <w:top w:val="none" w:sz="0" w:space="0" w:color="auto"/>
                                            <w:left w:val="none" w:sz="0" w:space="0" w:color="auto"/>
                                            <w:bottom w:val="none" w:sz="0" w:space="0" w:color="auto"/>
                                            <w:right w:val="none" w:sz="0" w:space="0" w:color="auto"/>
                                          </w:divBdr>
                                        </w:div>
                                        <w:div w:id="258560307">
                                          <w:marLeft w:val="0"/>
                                          <w:marRight w:val="0"/>
                                          <w:marTop w:val="0"/>
                                          <w:marBottom w:val="0"/>
                                          <w:divBdr>
                                            <w:top w:val="none" w:sz="0" w:space="0" w:color="auto"/>
                                            <w:left w:val="none" w:sz="0" w:space="0" w:color="auto"/>
                                            <w:bottom w:val="none" w:sz="0" w:space="0" w:color="auto"/>
                                            <w:right w:val="none" w:sz="0" w:space="0" w:color="auto"/>
                                          </w:divBdr>
                                        </w:div>
                                        <w:div w:id="655383763">
                                          <w:marLeft w:val="0"/>
                                          <w:marRight w:val="0"/>
                                          <w:marTop w:val="0"/>
                                          <w:marBottom w:val="0"/>
                                          <w:divBdr>
                                            <w:top w:val="none" w:sz="0" w:space="0" w:color="auto"/>
                                            <w:left w:val="none" w:sz="0" w:space="0" w:color="auto"/>
                                            <w:bottom w:val="none" w:sz="0" w:space="0" w:color="auto"/>
                                            <w:right w:val="none" w:sz="0" w:space="0" w:color="auto"/>
                                          </w:divBdr>
                                        </w:div>
                                        <w:div w:id="481653007">
                                          <w:marLeft w:val="0"/>
                                          <w:marRight w:val="0"/>
                                          <w:marTop w:val="0"/>
                                          <w:marBottom w:val="0"/>
                                          <w:divBdr>
                                            <w:top w:val="none" w:sz="0" w:space="0" w:color="auto"/>
                                            <w:left w:val="none" w:sz="0" w:space="0" w:color="auto"/>
                                            <w:bottom w:val="none" w:sz="0" w:space="0" w:color="auto"/>
                                            <w:right w:val="none" w:sz="0" w:space="0" w:color="auto"/>
                                          </w:divBdr>
                                        </w:div>
                                        <w:div w:id="1812822902">
                                          <w:marLeft w:val="0"/>
                                          <w:marRight w:val="0"/>
                                          <w:marTop w:val="0"/>
                                          <w:marBottom w:val="0"/>
                                          <w:divBdr>
                                            <w:top w:val="none" w:sz="0" w:space="0" w:color="auto"/>
                                            <w:left w:val="none" w:sz="0" w:space="0" w:color="auto"/>
                                            <w:bottom w:val="none" w:sz="0" w:space="0" w:color="auto"/>
                                            <w:right w:val="none" w:sz="0" w:space="0" w:color="auto"/>
                                          </w:divBdr>
                                        </w:div>
                                        <w:div w:id="101998525">
                                          <w:marLeft w:val="0"/>
                                          <w:marRight w:val="0"/>
                                          <w:marTop w:val="0"/>
                                          <w:marBottom w:val="0"/>
                                          <w:divBdr>
                                            <w:top w:val="none" w:sz="0" w:space="0" w:color="auto"/>
                                            <w:left w:val="none" w:sz="0" w:space="0" w:color="auto"/>
                                            <w:bottom w:val="none" w:sz="0" w:space="0" w:color="auto"/>
                                            <w:right w:val="none" w:sz="0" w:space="0" w:color="auto"/>
                                          </w:divBdr>
                                        </w:div>
                                        <w:div w:id="20975937">
                                          <w:marLeft w:val="0"/>
                                          <w:marRight w:val="0"/>
                                          <w:marTop w:val="0"/>
                                          <w:marBottom w:val="0"/>
                                          <w:divBdr>
                                            <w:top w:val="none" w:sz="0" w:space="0" w:color="auto"/>
                                            <w:left w:val="none" w:sz="0" w:space="0" w:color="auto"/>
                                            <w:bottom w:val="none" w:sz="0" w:space="0" w:color="auto"/>
                                            <w:right w:val="none" w:sz="0" w:space="0" w:color="auto"/>
                                          </w:divBdr>
                                        </w:div>
                                        <w:div w:id="1943759344">
                                          <w:marLeft w:val="0"/>
                                          <w:marRight w:val="0"/>
                                          <w:marTop w:val="0"/>
                                          <w:marBottom w:val="0"/>
                                          <w:divBdr>
                                            <w:top w:val="none" w:sz="0" w:space="0" w:color="auto"/>
                                            <w:left w:val="none" w:sz="0" w:space="0" w:color="auto"/>
                                            <w:bottom w:val="none" w:sz="0" w:space="0" w:color="auto"/>
                                            <w:right w:val="none" w:sz="0" w:space="0" w:color="auto"/>
                                          </w:divBdr>
                                        </w:div>
                                        <w:div w:id="1345747130">
                                          <w:marLeft w:val="0"/>
                                          <w:marRight w:val="0"/>
                                          <w:marTop w:val="0"/>
                                          <w:marBottom w:val="0"/>
                                          <w:divBdr>
                                            <w:top w:val="none" w:sz="0" w:space="0" w:color="auto"/>
                                            <w:left w:val="none" w:sz="0" w:space="0" w:color="auto"/>
                                            <w:bottom w:val="none" w:sz="0" w:space="0" w:color="auto"/>
                                            <w:right w:val="none" w:sz="0" w:space="0" w:color="auto"/>
                                          </w:divBdr>
                                        </w:div>
                                        <w:div w:id="725954802">
                                          <w:marLeft w:val="0"/>
                                          <w:marRight w:val="0"/>
                                          <w:marTop w:val="0"/>
                                          <w:marBottom w:val="0"/>
                                          <w:divBdr>
                                            <w:top w:val="none" w:sz="0" w:space="0" w:color="auto"/>
                                            <w:left w:val="none" w:sz="0" w:space="0" w:color="auto"/>
                                            <w:bottom w:val="none" w:sz="0" w:space="0" w:color="auto"/>
                                            <w:right w:val="none" w:sz="0" w:space="0" w:color="auto"/>
                                          </w:divBdr>
                                        </w:div>
                                        <w:div w:id="1100026275">
                                          <w:marLeft w:val="0"/>
                                          <w:marRight w:val="0"/>
                                          <w:marTop w:val="0"/>
                                          <w:marBottom w:val="0"/>
                                          <w:divBdr>
                                            <w:top w:val="none" w:sz="0" w:space="0" w:color="auto"/>
                                            <w:left w:val="none" w:sz="0" w:space="0" w:color="auto"/>
                                            <w:bottom w:val="none" w:sz="0" w:space="0" w:color="auto"/>
                                            <w:right w:val="none" w:sz="0" w:space="0" w:color="auto"/>
                                          </w:divBdr>
                                        </w:div>
                                        <w:div w:id="900822827">
                                          <w:marLeft w:val="0"/>
                                          <w:marRight w:val="0"/>
                                          <w:marTop w:val="0"/>
                                          <w:marBottom w:val="0"/>
                                          <w:divBdr>
                                            <w:top w:val="none" w:sz="0" w:space="0" w:color="auto"/>
                                            <w:left w:val="none" w:sz="0" w:space="0" w:color="auto"/>
                                            <w:bottom w:val="none" w:sz="0" w:space="0" w:color="auto"/>
                                            <w:right w:val="none" w:sz="0" w:space="0" w:color="auto"/>
                                          </w:divBdr>
                                        </w:div>
                                        <w:div w:id="1793018183">
                                          <w:marLeft w:val="0"/>
                                          <w:marRight w:val="0"/>
                                          <w:marTop w:val="0"/>
                                          <w:marBottom w:val="0"/>
                                          <w:divBdr>
                                            <w:top w:val="none" w:sz="0" w:space="0" w:color="auto"/>
                                            <w:left w:val="none" w:sz="0" w:space="0" w:color="auto"/>
                                            <w:bottom w:val="none" w:sz="0" w:space="0" w:color="auto"/>
                                            <w:right w:val="none" w:sz="0" w:space="0" w:color="auto"/>
                                          </w:divBdr>
                                        </w:div>
                                        <w:div w:id="1048459026">
                                          <w:marLeft w:val="0"/>
                                          <w:marRight w:val="0"/>
                                          <w:marTop w:val="0"/>
                                          <w:marBottom w:val="0"/>
                                          <w:divBdr>
                                            <w:top w:val="none" w:sz="0" w:space="0" w:color="auto"/>
                                            <w:left w:val="none" w:sz="0" w:space="0" w:color="auto"/>
                                            <w:bottom w:val="none" w:sz="0" w:space="0" w:color="auto"/>
                                            <w:right w:val="none" w:sz="0" w:space="0" w:color="auto"/>
                                          </w:divBdr>
                                        </w:div>
                                        <w:div w:id="1459715843">
                                          <w:marLeft w:val="0"/>
                                          <w:marRight w:val="0"/>
                                          <w:marTop w:val="0"/>
                                          <w:marBottom w:val="0"/>
                                          <w:divBdr>
                                            <w:top w:val="none" w:sz="0" w:space="0" w:color="auto"/>
                                            <w:left w:val="none" w:sz="0" w:space="0" w:color="auto"/>
                                            <w:bottom w:val="none" w:sz="0" w:space="0" w:color="auto"/>
                                            <w:right w:val="none" w:sz="0" w:space="0" w:color="auto"/>
                                          </w:divBdr>
                                        </w:div>
                                        <w:div w:id="1071268746">
                                          <w:marLeft w:val="0"/>
                                          <w:marRight w:val="0"/>
                                          <w:marTop w:val="0"/>
                                          <w:marBottom w:val="0"/>
                                          <w:divBdr>
                                            <w:top w:val="none" w:sz="0" w:space="0" w:color="auto"/>
                                            <w:left w:val="none" w:sz="0" w:space="0" w:color="auto"/>
                                            <w:bottom w:val="none" w:sz="0" w:space="0" w:color="auto"/>
                                            <w:right w:val="none" w:sz="0" w:space="0" w:color="auto"/>
                                          </w:divBdr>
                                        </w:div>
                                        <w:div w:id="753476328">
                                          <w:marLeft w:val="0"/>
                                          <w:marRight w:val="0"/>
                                          <w:marTop w:val="0"/>
                                          <w:marBottom w:val="0"/>
                                          <w:divBdr>
                                            <w:top w:val="none" w:sz="0" w:space="0" w:color="auto"/>
                                            <w:left w:val="none" w:sz="0" w:space="0" w:color="auto"/>
                                            <w:bottom w:val="none" w:sz="0" w:space="0" w:color="auto"/>
                                            <w:right w:val="none" w:sz="0" w:space="0" w:color="auto"/>
                                          </w:divBdr>
                                        </w:div>
                                        <w:div w:id="930309725">
                                          <w:marLeft w:val="0"/>
                                          <w:marRight w:val="0"/>
                                          <w:marTop w:val="0"/>
                                          <w:marBottom w:val="0"/>
                                          <w:divBdr>
                                            <w:top w:val="none" w:sz="0" w:space="0" w:color="auto"/>
                                            <w:left w:val="none" w:sz="0" w:space="0" w:color="auto"/>
                                            <w:bottom w:val="none" w:sz="0" w:space="0" w:color="auto"/>
                                            <w:right w:val="none" w:sz="0" w:space="0" w:color="auto"/>
                                          </w:divBdr>
                                        </w:div>
                                        <w:div w:id="734358985">
                                          <w:marLeft w:val="0"/>
                                          <w:marRight w:val="0"/>
                                          <w:marTop w:val="0"/>
                                          <w:marBottom w:val="0"/>
                                          <w:divBdr>
                                            <w:top w:val="none" w:sz="0" w:space="0" w:color="auto"/>
                                            <w:left w:val="none" w:sz="0" w:space="0" w:color="auto"/>
                                            <w:bottom w:val="none" w:sz="0" w:space="0" w:color="auto"/>
                                            <w:right w:val="none" w:sz="0" w:space="0" w:color="auto"/>
                                          </w:divBdr>
                                        </w:div>
                                        <w:div w:id="1561866610">
                                          <w:marLeft w:val="0"/>
                                          <w:marRight w:val="0"/>
                                          <w:marTop w:val="0"/>
                                          <w:marBottom w:val="0"/>
                                          <w:divBdr>
                                            <w:top w:val="none" w:sz="0" w:space="0" w:color="auto"/>
                                            <w:left w:val="none" w:sz="0" w:space="0" w:color="auto"/>
                                            <w:bottom w:val="none" w:sz="0" w:space="0" w:color="auto"/>
                                            <w:right w:val="none" w:sz="0" w:space="0" w:color="auto"/>
                                          </w:divBdr>
                                        </w:div>
                                        <w:div w:id="1920826443">
                                          <w:marLeft w:val="0"/>
                                          <w:marRight w:val="0"/>
                                          <w:marTop w:val="0"/>
                                          <w:marBottom w:val="0"/>
                                          <w:divBdr>
                                            <w:top w:val="none" w:sz="0" w:space="0" w:color="auto"/>
                                            <w:left w:val="none" w:sz="0" w:space="0" w:color="auto"/>
                                            <w:bottom w:val="none" w:sz="0" w:space="0" w:color="auto"/>
                                            <w:right w:val="none" w:sz="0" w:space="0" w:color="auto"/>
                                          </w:divBdr>
                                        </w:div>
                                        <w:div w:id="1742368738">
                                          <w:marLeft w:val="0"/>
                                          <w:marRight w:val="0"/>
                                          <w:marTop w:val="0"/>
                                          <w:marBottom w:val="0"/>
                                          <w:divBdr>
                                            <w:top w:val="none" w:sz="0" w:space="0" w:color="auto"/>
                                            <w:left w:val="none" w:sz="0" w:space="0" w:color="auto"/>
                                            <w:bottom w:val="none" w:sz="0" w:space="0" w:color="auto"/>
                                            <w:right w:val="none" w:sz="0" w:space="0" w:color="auto"/>
                                          </w:divBdr>
                                        </w:div>
                                        <w:div w:id="1206404585">
                                          <w:marLeft w:val="0"/>
                                          <w:marRight w:val="0"/>
                                          <w:marTop w:val="0"/>
                                          <w:marBottom w:val="0"/>
                                          <w:divBdr>
                                            <w:top w:val="none" w:sz="0" w:space="0" w:color="auto"/>
                                            <w:left w:val="none" w:sz="0" w:space="0" w:color="auto"/>
                                            <w:bottom w:val="none" w:sz="0" w:space="0" w:color="auto"/>
                                            <w:right w:val="none" w:sz="0" w:space="0" w:color="auto"/>
                                          </w:divBdr>
                                        </w:div>
                                        <w:div w:id="640765891">
                                          <w:marLeft w:val="0"/>
                                          <w:marRight w:val="0"/>
                                          <w:marTop w:val="0"/>
                                          <w:marBottom w:val="0"/>
                                          <w:divBdr>
                                            <w:top w:val="none" w:sz="0" w:space="0" w:color="auto"/>
                                            <w:left w:val="none" w:sz="0" w:space="0" w:color="auto"/>
                                            <w:bottom w:val="none" w:sz="0" w:space="0" w:color="auto"/>
                                            <w:right w:val="none" w:sz="0" w:space="0" w:color="auto"/>
                                          </w:divBdr>
                                        </w:div>
                                        <w:div w:id="465464987">
                                          <w:marLeft w:val="0"/>
                                          <w:marRight w:val="0"/>
                                          <w:marTop w:val="0"/>
                                          <w:marBottom w:val="0"/>
                                          <w:divBdr>
                                            <w:top w:val="none" w:sz="0" w:space="0" w:color="auto"/>
                                            <w:left w:val="none" w:sz="0" w:space="0" w:color="auto"/>
                                            <w:bottom w:val="none" w:sz="0" w:space="0" w:color="auto"/>
                                            <w:right w:val="none" w:sz="0" w:space="0" w:color="auto"/>
                                          </w:divBdr>
                                        </w:div>
                                        <w:div w:id="13325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2017-04-17T07:34:00Z</dcterms:created>
  <dcterms:modified xsi:type="dcterms:W3CDTF">2017-04-17T07:37:00Z</dcterms:modified>
</cp:coreProperties>
</file>